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default" w:eastAsia="华文楷体"/>
          <w:lang w:val="en-US" w:eastAsia="zh-CN"/>
        </w:rPr>
      </w:pPr>
      <w:bookmarkStart w:id="0" w:name="_Toc77864020"/>
      <w:r>
        <w:rPr>
          <w:rFonts w:hint="eastAsia"/>
        </w:rPr>
        <w:t>工科类专业情况补充表（凡开办工科专业的本科高校必须填报）</w:t>
      </w:r>
      <w:bookmarkEnd w:id="0"/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所有工科学院</w:t>
      </w:r>
      <w:r>
        <w:rPr>
          <w:rFonts w:hint="eastAsia"/>
          <w:lang w:val="en-US" w:eastAsia="zh-CN"/>
        </w:rPr>
        <w:t xml:space="preserve"> 10月25日</w:t>
      </w:r>
    </w:p>
    <w:p>
      <w:pPr>
        <w:pStyle w:val="3"/>
      </w:pPr>
      <w:bookmarkStart w:id="1" w:name="_Toc77864021"/>
      <w:r>
        <w:rPr>
          <w:rFonts w:hint="eastAsia"/>
        </w:rPr>
        <w:t>工科-</w:t>
      </w:r>
      <w:r>
        <w:t>1</w:t>
      </w:r>
      <w:r>
        <w:rPr>
          <w:rFonts w:hint="eastAsia"/>
        </w:rPr>
        <w:t>工科类专业课程情况（学年）</w:t>
      </w:r>
      <w:bookmarkEnd w:id="1"/>
    </w:p>
    <w:tbl>
      <w:tblPr>
        <w:tblStyle w:val="4"/>
        <w:tblW w:w="13149" w:type="dxa"/>
        <w:jc w:val="center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128"/>
        <w:gridCol w:w="2454"/>
        <w:gridCol w:w="1929"/>
        <w:gridCol w:w="2528"/>
        <w:gridCol w:w="2409"/>
        <w:gridCol w:w="1701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21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校内专业代码</w:t>
            </w: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校内专业名称</w:t>
            </w: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课程号</w:t>
            </w: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b/>
                <w:bCs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2128" w:type="dxa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54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28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b/>
                <w:bCs/>
                <w:color w:val="FF0000"/>
                <w:sz w:val="30"/>
                <w:szCs w:val="30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下拉选择</w:t>
            </w:r>
          </w:p>
        </w:tc>
        <w:tc>
          <w:tcPr>
            <w:tcW w:w="1701" w:type="dxa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数学与自然科学课程：</w:t>
      </w:r>
      <w:r>
        <w:rPr>
          <w:rFonts w:hint="eastAsia"/>
        </w:rPr>
        <w:t>是指数学、物理、化学等公共必修课；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工程基础课程：</w:t>
      </w:r>
      <w:r>
        <w:rPr>
          <w:rFonts w:hint="eastAsia"/>
        </w:rPr>
        <w:t>是指</w:t>
      </w:r>
      <w:ins w:id="0" w:author="zz" w:date="2021-09-13T15:46:00Z">
        <w:r>
          <w:rPr/>
          <w:tab/>
        </w:r>
      </w:ins>
      <w:r>
        <w:rPr>
          <w:rFonts w:hint="eastAsia"/>
        </w:rPr>
        <w:t>工科类专业通用的，在专业应用能力培养中涉及数学和自然科学的必修课程；</w:t>
      </w:r>
    </w:p>
    <w:p>
      <w:pPr>
        <w:adjustRightInd w:val="0"/>
        <w:snapToGrid w:val="0"/>
        <w:spacing w:line="360" w:lineRule="auto"/>
        <w:ind w:right="-197" w:rightChars="-94"/>
      </w:pPr>
      <w:r>
        <w:rPr>
          <w:rFonts w:hint="eastAsia"/>
          <w:b/>
        </w:rPr>
        <w:t>专业基础课程：</w:t>
      </w:r>
      <w:r>
        <w:rPr>
          <w:rFonts w:hint="eastAsia"/>
        </w:rPr>
        <w:t>是指与本专业相关的，在本专业应用能力培养中涉及数学和自然科学的专业必修课程；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5B9BD5" w:themeColor="accent1"/>
          <w:szCs w:val="21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</w:rPr>
        <w:t>专业课程：</w:t>
      </w:r>
      <w:r>
        <w:rPr>
          <w:rFonts w:hint="eastAsia"/>
        </w:rPr>
        <w:t>是指本专业培养学生系统设计与实现能力的专业必修课程。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rPr>
          <w:b/>
        </w:rPr>
      </w:pPr>
      <w:r>
        <w:rPr>
          <w:rFonts w:hint="eastAsia"/>
          <w:b/>
        </w:rPr>
        <w:t>表内校验：</w:t>
      </w:r>
    </w:p>
    <w:p>
      <w:pPr>
        <w:adjustRightInd w:val="0"/>
        <w:snapToGrid w:val="0"/>
        <w:spacing w:line="360" w:lineRule="auto"/>
        <w:ind w:firstLine="315" w:firstLineChars="150"/>
        <w:rPr>
          <w:rFonts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“校内专业代码”+“课程号”不重复。</w:t>
      </w:r>
    </w:p>
    <w:p>
      <w:pPr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315" w:firstLineChars="150"/>
        <w:rPr>
          <w:b/>
        </w:rPr>
      </w:pPr>
      <w:r>
        <w:t xml:space="preserve">1. </w:t>
      </w:r>
      <w:r>
        <w:rPr>
          <w:rFonts w:hint="eastAsia"/>
        </w:rPr>
        <w:t>“课程号”、“课程名称”与表</w:t>
      </w:r>
      <w:r>
        <w:t>5-1-1</w:t>
      </w:r>
      <w:r>
        <w:rPr>
          <w:rFonts w:hint="eastAsia"/>
        </w:rPr>
        <w:t>保持一致；</w:t>
      </w:r>
    </w:p>
    <w:p>
      <w:pPr>
        <w:ind w:firstLine="315" w:firstLineChars="150"/>
      </w:pPr>
      <w:r>
        <w:rPr>
          <w:rFonts w:hint="eastAsia"/>
        </w:rPr>
        <w:t>2. “面向校内专业”、“面向校内专业代码”与表1-4-1的“校内专业代码”、“校内专业名称”保持一致。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pStyle w:val="3"/>
      </w:pPr>
      <w:bookmarkStart w:id="2" w:name="_Toc77864022"/>
      <w:r>
        <w:rPr>
          <w:rFonts w:hint="eastAsia"/>
        </w:rPr>
        <w:t>工科-</w:t>
      </w:r>
      <w:r>
        <w:t>2</w:t>
      </w:r>
      <w:r>
        <w:rPr>
          <w:rFonts w:hint="eastAsia"/>
        </w:rPr>
        <w:t>工科类专业经费情况（自然年）</w:t>
      </w:r>
      <w:bookmarkEnd w:id="2"/>
    </w:p>
    <w:tbl>
      <w:tblPr>
        <w:tblStyle w:val="4"/>
        <w:tblW w:w="13454" w:type="dxa"/>
        <w:tblInd w:w="0" w:type="dxa"/>
        <w:tblBorders>
          <w:top w:val="single" w:color="000000" w:sz="12" w:space="0"/>
          <w:left w:val="single" w:color="000000" w:sz="4" w:space="0"/>
          <w:bottom w:val="single" w:color="000000" w:sz="12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4"/>
        <w:gridCol w:w="2532"/>
        <w:gridCol w:w="4257"/>
        <w:gridCol w:w="4171"/>
      </w:tblGrid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校内专业代码</w:t>
            </w: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校内专业名称</w:t>
            </w: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专业实验经费支出（万元）</w:t>
            </w: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实习经费支出（万元）</w:t>
            </w:r>
          </w:p>
        </w:tc>
      </w:tr>
      <w:tr>
        <w:tblPrEx>
          <w:tblBorders>
            <w:top w:val="single" w:color="000000" w:sz="12" w:space="0"/>
            <w:left w:val="single" w:color="000000" w:sz="4" w:space="0"/>
            <w:bottom w:val="single" w:color="000000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494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32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257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4171" w:type="dxa"/>
            <w:shd w:val="clear" w:color="auto" w:fill="auto"/>
            <w:vAlign w:val="center"/>
          </w:tcPr>
          <w:p>
            <w:pPr>
              <w:jc w:val="center"/>
              <w:rPr>
                <w:b/>
                <w:color w:val="FF0000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指标解释：</w:t>
      </w:r>
    </w:p>
    <w:p>
      <w:pPr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ascii="Times New Roman" w:hAnsi="Times New Roman" w:cs="Times New Roman"/>
          <w:b/>
          <w:color w:val="000000"/>
          <w:szCs w:val="21"/>
        </w:rPr>
        <w:t>专业</w:t>
      </w:r>
      <w:r>
        <w:rPr>
          <w:rFonts w:hint="eastAsia" w:ascii="Times New Roman" w:hAnsi="Times New Roman" w:cs="Times New Roman"/>
          <w:b/>
          <w:color w:val="000000"/>
          <w:szCs w:val="21"/>
        </w:rPr>
        <w:t>实验经费支出：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指用于实验教学运行、维护经费总值，包括：实验耗材、不列入固定资产登记的小型本科实验教学设备购置、教学设备维修费、本科实验教学资料费等支出。（</w:t>
      </w:r>
      <w:r>
        <w:rPr>
          <w:rFonts w:hint="eastAsia" w:ascii="Times New Roman" w:hAnsi="Times New Roman" w:cs="Times New Roman"/>
          <w:b/>
          <w:color w:val="000000"/>
          <w:szCs w:val="21"/>
        </w:rPr>
        <w:t>仅指专业基础课、专业课</w:t>
      </w:r>
      <w:r>
        <w:rPr>
          <w:rFonts w:hint="eastAsia" w:ascii="Times New Roman" w:hAnsi="Times New Roman" w:cs="Times New Roman"/>
          <w:color w:val="000000"/>
          <w:szCs w:val="21"/>
        </w:rPr>
        <w:t>）</w:t>
      </w:r>
    </w:p>
    <w:p>
      <w:pPr>
        <w:spacing w:line="360" w:lineRule="auto"/>
        <w:ind w:firstLine="103" w:firstLineChars="49"/>
        <w:rPr>
          <w:rFonts w:ascii="仿宋_GB2312" w:eastAsia="仿宋_GB2312"/>
          <w:bCs/>
          <w:sz w:val="30"/>
          <w:szCs w:val="30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实习经费支出：</w:t>
      </w:r>
      <w:r>
        <w:rPr>
          <w:rFonts w:hint="eastAsia" w:ascii="Times New Roman" w:hAnsi="Times New Roman" w:cs="Times New Roman"/>
          <w:color w:val="000000"/>
          <w:szCs w:val="21"/>
        </w:rPr>
        <w:t>指用于本科培养方案内的实习环节支出经费的总值。</w:t>
      </w:r>
    </w:p>
    <w:p>
      <w:pPr>
        <w:adjustRightInd w:val="0"/>
        <w:snapToGrid w:val="0"/>
        <w:spacing w:line="360" w:lineRule="auto"/>
        <w:ind w:firstLine="103" w:firstLineChars="49"/>
        <w:rPr>
          <w:rFonts w:ascii="Times New Roman" w:hAnsi="Times New Roman" w:cs="Times New Roman"/>
          <w:b/>
          <w:color w:val="000000"/>
          <w:szCs w:val="21"/>
        </w:rPr>
      </w:pPr>
      <w:r>
        <w:rPr>
          <w:rFonts w:hint="eastAsia" w:ascii="Times New Roman" w:hAnsi="Times New Roman" w:cs="Times New Roman"/>
          <w:b/>
          <w:color w:val="000000"/>
          <w:szCs w:val="21"/>
        </w:rPr>
        <w:t>*校验关系</w:t>
      </w:r>
    </w:p>
    <w:p>
      <w:pPr>
        <w:ind w:firstLine="103" w:firstLineChars="49"/>
        <w:rPr>
          <w:b/>
        </w:rPr>
      </w:pPr>
      <w:r>
        <w:rPr>
          <w:rFonts w:hint="eastAsia"/>
          <w:b/>
        </w:rPr>
        <w:t>表间校验：</w:t>
      </w:r>
    </w:p>
    <w:p>
      <w:pPr>
        <w:ind w:firstLine="411" w:firstLineChars="196"/>
      </w:pPr>
      <w:r>
        <w:rPr>
          <w:rFonts w:hint="eastAsia"/>
        </w:rPr>
        <w:t>1</w:t>
      </w:r>
      <w:r>
        <w:rPr>
          <w:rFonts w:hint="eastAsia"/>
          <w:b/>
        </w:rPr>
        <w:t>.</w:t>
      </w:r>
      <w:r>
        <w:rPr>
          <w:rFonts w:hint="eastAsia"/>
        </w:rPr>
        <w:t>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”与表</w:t>
      </w:r>
      <w:r>
        <w:t>1</w:t>
      </w:r>
      <w:r>
        <w:rPr>
          <w:rFonts w:hint="eastAsia"/>
        </w:rPr>
        <w:t>-</w:t>
      </w:r>
      <w:r>
        <w:t>4</w:t>
      </w:r>
      <w:r>
        <w:rPr>
          <w:rFonts w:hint="eastAsia"/>
        </w:rPr>
        <w:t>-1的“校内专业代码”、“</w:t>
      </w:r>
      <w:r>
        <w:rPr>
          <w:rFonts w:hint="eastAsia" w:ascii="Times New Roman" w:hAnsi="Times New Roman" w:cs="Times New Roman"/>
          <w:bCs/>
          <w:color w:val="000000"/>
        </w:rPr>
        <w:t>校内专业名称</w:t>
      </w:r>
      <w:r>
        <w:rPr>
          <w:rFonts w:hint="eastAsia"/>
        </w:rPr>
        <w:t>”保持一致。</w:t>
      </w:r>
    </w:p>
    <w:p>
      <w:bookmarkStart w:id="3" w:name="_GoBack"/>
      <w:bookmarkEnd w:id="3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z">
    <w15:presenceInfo w15:providerId="None" w15:userId="z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E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2021-10-13T00:45:45Z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B7BC20FEDB3448B595C7054BD7E5BE32</vt:lpwstr>
  </property>
</Properties>
</file>