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bookmarkStart w:id="0" w:name="_Toc77864020"/>
      <w:bookmarkStart w:id="1" w:name="_Toc77864021"/>
      <w:r>
        <w:rPr>
          <w:rFonts w:hint="eastAsia"/>
          <w:lang w:eastAsia="zh-CN"/>
        </w:rPr>
        <w:t>请所有工科学院填报后于</w:t>
      </w:r>
      <w:r>
        <w:rPr>
          <w:rFonts w:hint="eastAsia"/>
          <w:lang w:val="en-US" w:eastAsia="zh-CN"/>
        </w:rPr>
        <w:t>10月20日前发送至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guowang@swu.edu.cn，联系人： 评估科郭旺68367538</w:t>
      </w:r>
    </w:p>
    <w:p>
      <w:pPr>
        <w:rPr>
          <w:rFonts w:hint="default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/>
        </w:rPr>
        <w:t>工科类专业情况补充表（凡开办工科专业</w:t>
      </w:r>
      <w:bookmarkStart w:id="3" w:name="_GoBack"/>
      <w:bookmarkEnd w:id="3"/>
      <w:r>
        <w:rPr>
          <w:rFonts w:hint="eastAsia"/>
        </w:rPr>
        <w:t>的本科高校必须填报）</w:t>
      </w:r>
      <w:bookmarkEnd w:id="0"/>
    </w:p>
    <w:p>
      <w:pPr>
        <w:pStyle w:val="3"/>
        <w:rPr>
          <w:rFonts w:hint="default"/>
          <w:lang w:val="en-US" w:eastAsia="zh-CN"/>
        </w:rPr>
      </w:pPr>
      <w:r>
        <w:rPr>
          <w:rFonts w:hint="eastAsia"/>
        </w:rPr>
        <w:t>工科-1工科类专业课程情况（学年）</w:t>
      </w:r>
      <w:bookmarkEnd w:id="1"/>
      <w:r>
        <w:rPr>
          <w:rFonts w:hint="eastAsia"/>
          <w:lang w:val="en-US" w:eastAsia="zh-CN"/>
        </w:rPr>
        <w:t xml:space="preserve">  </w:t>
      </w:r>
    </w:p>
    <w:tbl>
      <w:tblPr>
        <w:tblStyle w:val="5"/>
        <w:tblW w:w="13149" w:type="dxa"/>
        <w:jc w:val="center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2128"/>
        <w:gridCol w:w="2454"/>
        <w:gridCol w:w="1929"/>
        <w:gridCol w:w="2528"/>
        <w:gridCol w:w="2409"/>
        <w:gridCol w:w="1701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212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校内专业代码</w:t>
            </w:r>
          </w:p>
        </w:tc>
        <w:tc>
          <w:tcPr>
            <w:tcW w:w="245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校内专业名称</w:t>
            </w:r>
          </w:p>
        </w:tc>
        <w:tc>
          <w:tcPr>
            <w:tcW w:w="192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课程号</w:t>
            </w:r>
          </w:p>
        </w:tc>
        <w:tc>
          <w:tcPr>
            <w:tcW w:w="252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2128" w:type="dxa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下拉选择</w:t>
            </w:r>
          </w:p>
        </w:tc>
        <w:tc>
          <w:tcPr>
            <w:tcW w:w="1701" w:type="dxa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指标解释：</w:t>
      </w:r>
    </w:p>
    <w:p>
      <w:pPr>
        <w:adjustRightInd w:val="0"/>
        <w:snapToGrid w:val="0"/>
        <w:spacing w:line="360" w:lineRule="auto"/>
        <w:ind w:right="-197" w:rightChars="-94"/>
      </w:pPr>
      <w:r>
        <w:rPr>
          <w:rFonts w:hint="eastAsia"/>
          <w:b/>
        </w:rPr>
        <w:t>数学与自然科学课程：</w:t>
      </w:r>
      <w:r>
        <w:rPr>
          <w:rFonts w:hint="eastAsia"/>
        </w:rPr>
        <w:t>是指数学、物理、化学等公共必修课；</w:t>
      </w:r>
    </w:p>
    <w:p>
      <w:pPr>
        <w:adjustRightInd w:val="0"/>
        <w:snapToGrid w:val="0"/>
        <w:spacing w:line="360" w:lineRule="auto"/>
        <w:ind w:right="-197" w:rightChars="-94"/>
      </w:pPr>
      <w:r>
        <w:rPr>
          <w:rFonts w:hint="eastAsia"/>
          <w:b/>
        </w:rPr>
        <w:t>工程基础课程：</w:t>
      </w:r>
      <w:r>
        <w:rPr>
          <w:rFonts w:hint="eastAsia"/>
        </w:rPr>
        <w:t>是指</w:t>
      </w:r>
      <w:ins w:id="0" w:author="zz" w:date="2021-09-13T15:46:00Z">
        <w:r>
          <w:rPr/>
          <w:tab/>
        </w:r>
      </w:ins>
      <w:r>
        <w:rPr>
          <w:rFonts w:hint="eastAsia"/>
        </w:rPr>
        <w:t>工科类专业通用的，在专业应用能力培养中涉及数学和自然科学的必修课程；</w:t>
      </w:r>
    </w:p>
    <w:p>
      <w:pPr>
        <w:adjustRightInd w:val="0"/>
        <w:snapToGrid w:val="0"/>
        <w:spacing w:line="360" w:lineRule="auto"/>
        <w:ind w:right="-197" w:rightChars="-94"/>
      </w:pPr>
      <w:r>
        <w:rPr>
          <w:rFonts w:hint="eastAsia"/>
          <w:b/>
        </w:rPr>
        <w:t>专业基础课程：</w:t>
      </w:r>
      <w:r>
        <w:rPr>
          <w:rFonts w:hint="eastAsia"/>
        </w:rPr>
        <w:t>是指与本专业相关的，在本专业应用能力培养中涉及数学和自然科学的专业必修课程；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4874CB" w:themeColor="accent1"/>
          <w:szCs w:val="21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</w:rPr>
        <w:t>专业课程：</w:t>
      </w:r>
      <w:r>
        <w:rPr>
          <w:rFonts w:hint="eastAsia"/>
        </w:rPr>
        <w:t>是指本专业培养学生系统设计与实现能力的专业必修课程。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*校验关系</w:t>
      </w:r>
    </w:p>
    <w:p>
      <w:pPr>
        <w:rPr>
          <w:b/>
        </w:rPr>
      </w:pPr>
      <w:r>
        <w:rPr>
          <w:rFonts w:hint="eastAsia"/>
          <w:b/>
        </w:rPr>
        <w:t>表内校验：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“校内专业代码”+“课程号”不重复。</w:t>
      </w:r>
    </w:p>
    <w:p>
      <w:pPr>
        <w:rPr>
          <w:b/>
        </w:rPr>
      </w:pPr>
      <w:r>
        <w:rPr>
          <w:rFonts w:hint="eastAsia"/>
          <w:b/>
        </w:rPr>
        <w:t>表间校验：</w:t>
      </w:r>
    </w:p>
    <w:p>
      <w:pPr>
        <w:ind w:firstLine="315" w:firstLineChars="150"/>
        <w:rPr>
          <w:b/>
        </w:rPr>
      </w:pPr>
      <w:r>
        <w:t xml:space="preserve">1. </w:t>
      </w:r>
      <w:r>
        <w:rPr>
          <w:rFonts w:hint="eastAsia"/>
        </w:rPr>
        <w:t>“课程号”、“课程名称”与表</w:t>
      </w:r>
      <w:r>
        <w:t>5-1-1</w:t>
      </w:r>
      <w:r>
        <w:rPr>
          <w:rFonts w:hint="eastAsia"/>
        </w:rPr>
        <w:t>保持一致；</w:t>
      </w:r>
    </w:p>
    <w:p>
      <w:pPr>
        <w:ind w:firstLine="315" w:firstLineChars="150"/>
      </w:pPr>
      <w:r>
        <w:rPr>
          <w:rFonts w:hint="eastAsia"/>
        </w:rPr>
        <w:t>2. “面向校内专业”、“面向校内专业代码”与表1-4-1的“校内专业代码”、“校内专业名称”保持一致。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pStyle w:val="3"/>
      </w:pPr>
      <w:bookmarkStart w:id="2" w:name="_Toc77864022"/>
      <w:r>
        <w:rPr>
          <w:rFonts w:hint="eastAsia"/>
        </w:rPr>
        <w:t>工科-</w:t>
      </w:r>
      <w:r>
        <w:t>2</w:t>
      </w:r>
      <w:r>
        <w:rPr>
          <w:rFonts w:hint="eastAsia"/>
        </w:rPr>
        <w:t>工科类专业经费情况（自然年）</w:t>
      </w:r>
      <w:bookmarkEnd w:id="2"/>
      <w:r>
        <w:rPr>
          <w:rFonts w:hint="eastAsia"/>
          <w:lang w:val="en-US" w:eastAsia="zh-CN"/>
        </w:rPr>
        <w:t>请于10月20日之前反馈至评估科郭旺处</w:t>
      </w:r>
    </w:p>
    <w:tbl>
      <w:tblPr>
        <w:tblStyle w:val="5"/>
        <w:tblW w:w="13454" w:type="dxa"/>
        <w:tblInd w:w="0" w:type="dxa"/>
        <w:tblBorders>
          <w:top w:val="single" w:color="000000" w:sz="12" w:space="0"/>
          <w:left w:val="single" w:color="000000" w:sz="4" w:space="0"/>
          <w:bottom w:val="single" w:color="000000" w:sz="12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4"/>
        <w:gridCol w:w="2532"/>
        <w:gridCol w:w="4257"/>
        <w:gridCol w:w="4171"/>
      </w:tblGrid>
      <w:tr>
        <w:tblPrEx>
          <w:tblBorders>
            <w:top w:val="single" w:color="000000" w:sz="12" w:space="0"/>
            <w:left w:val="single" w:color="000000" w:sz="4" w:space="0"/>
            <w:bottom w:val="single" w:color="000000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494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校内专业代码</w:t>
            </w:r>
          </w:p>
        </w:tc>
        <w:tc>
          <w:tcPr>
            <w:tcW w:w="2532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校内专业名称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专业实验经费支出（万元）</w:t>
            </w:r>
          </w:p>
        </w:tc>
        <w:tc>
          <w:tcPr>
            <w:tcW w:w="4171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实习经费支出（万元）</w:t>
            </w:r>
          </w:p>
        </w:tc>
      </w:tr>
      <w:tr>
        <w:tblPrEx>
          <w:tblBorders>
            <w:top w:val="single" w:color="000000" w:sz="12" w:space="0"/>
            <w:left w:val="single" w:color="000000" w:sz="4" w:space="0"/>
            <w:bottom w:val="single" w:color="000000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494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32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4171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FF0000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103" w:firstLineChars="49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指标解释：</w:t>
      </w:r>
    </w:p>
    <w:p>
      <w:pPr>
        <w:spacing w:line="360" w:lineRule="auto"/>
        <w:ind w:firstLine="103" w:firstLineChars="49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专业</w:t>
      </w:r>
      <w:r>
        <w:rPr>
          <w:rFonts w:hint="eastAsia" w:ascii="Times New Roman" w:hAnsi="Times New Roman" w:cs="Times New Roman"/>
          <w:b/>
          <w:color w:val="000000"/>
          <w:szCs w:val="21"/>
        </w:rPr>
        <w:t>实验经费支出：</w:t>
      </w:r>
      <w:r>
        <w:rPr>
          <w:rFonts w:hint="eastAsia" w:ascii="Times New Roman" w:hAnsi="Times New Roman" w:cs="Times New Roman"/>
          <w:color w:val="000000"/>
          <w:szCs w:val="21"/>
        </w:rPr>
        <w:t>指用于实验教学运行、维护经费总值，包括：实验耗材、不列入固定资产登记的小型本科实验教学设备购置、教学设备维修费、本科实验教学资料费等支出。（</w:t>
      </w:r>
      <w:r>
        <w:rPr>
          <w:rFonts w:hint="eastAsia" w:ascii="Times New Roman" w:hAnsi="Times New Roman" w:cs="Times New Roman"/>
          <w:b/>
          <w:color w:val="000000"/>
          <w:szCs w:val="21"/>
        </w:rPr>
        <w:t>仅指专业基础课、专业课</w:t>
      </w:r>
      <w:r>
        <w:rPr>
          <w:rFonts w:hint="eastAsia" w:ascii="Times New Roman" w:hAnsi="Times New Roman" w:cs="Times New Roman"/>
          <w:color w:val="000000"/>
          <w:szCs w:val="21"/>
        </w:rPr>
        <w:t>）</w:t>
      </w:r>
    </w:p>
    <w:p>
      <w:pPr>
        <w:spacing w:line="360" w:lineRule="auto"/>
        <w:ind w:firstLine="103" w:firstLineChars="49"/>
        <w:rPr>
          <w:rFonts w:ascii="仿宋_GB2312" w:eastAsia="仿宋_GB2312"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实习经费支出：</w:t>
      </w:r>
      <w:r>
        <w:rPr>
          <w:rFonts w:hint="eastAsia" w:ascii="Times New Roman" w:hAnsi="Times New Roman" w:cs="Times New Roman"/>
          <w:color w:val="000000"/>
          <w:szCs w:val="21"/>
        </w:rPr>
        <w:t>指用于本科培养方案内的实习环节支出经费的总值。</w:t>
      </w:r>
    </w:p>
    <w:p>
      <w:pPr>
        <w:adjustRightInd w:val="0"/>
        <w:snapToGrid w:val="0"/>
        <w:spacing w:line="360" w:lineRule="auto"/>
        <w:ind w:firstLine="103" w:firstLineChars="49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*校验关系</w:t>
      </w:r>
    </w:p>
    <w:p>
      <w:pPr>
        <w:ind w:firstLine="103" w:firstLineChars="49"/>
        <w:rPr>
          <w:b/>
        </w:rPr>
      </w:pPr>
      <w:r>
        <w:rPr>
          <w:rFonts w:hint="eastAsia"/>
          <w:b/>
        </w:rPr>
        <w:t>表间校验：</w:t>
      </w:r>
    </w:p>
    <w:p>
      <w:pPr>
        <w:ind w:firstLine="411" w:firstLineChars="196"/>
      </w:pPr>
      <w:r>
        <w:rPr>
          <w:rFonts w:hint="eastAsia"/>
        </w:rPr>
        <w:t>1</w:t>
      </w:r>
      <w:r>
        <w:rPr>
          <w:rFonts w:hint="eastAsia"/>
          <w:b/>
        </w:rPr>
        <w:t>.</w:t>
      </w:r>
      <w:r>
        <w:rPr>
          <w:rFonts w:hint="eastAsia"/>
        </w:rPr>
        <w:t>“校内专业代码”、“</w:t>
      </w:r>
      <w:r>
        <w:rPr>
          <w:rFonts w:hint="eastAsia" w:ascii="Times New Roman" w:hAnsi="Times New Roman" w:cs="Times New Roman"/>
          <w:bCs/>
          <w:color w:val="000000"/>
        </w:rPr>
        <w:t>校内专业名称</w:t>
      </w:r>
      <w:r>
        <w:rPr>
          <w:rFonts w:hint="eastAsia"/>
        </w:rPr>
        <w:t>”与表</w:t>
      </w:r>
      <w:r>
        <w:t>1</w:t>
      </w:r>
      <w:r>
        <w:rPr>
          <w:rFonts w:hint="eastAsia"/>
        </w:rPr>
        <w:t>-</w:t>
      </w:r>
      <w:r>
        <w:t>4</w:t>
      </w:r>
      <w:r>
        <w:rPr>
          <w:rFonts w:hint="eastAsia"/>
        </w:rPr>
        <w:t>-1的“校内专业代码”、“</w:t>
      </w:r>
      <w:r>
        <w:rPr>
          <w:rFonts w:hint="eastAsia" w:ascii="Times New Roman" w:hAnsi="Times New Roman" w:cs="Times New Roman"/>
          <w:bCs/>
          <w:color w:val="000000"/>
        </w:rPr>
        <w:t>校内专业名称</w:t>
      </w:r>
      <w:r>
        <w:rPr>
          <w:rFonts w:hint="eastAsia"/>
        </w:rPr>
        <w:t>”保持一致。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  <w:sectPr>
          <w:footerReference r:id="rId3" w:type="default"/>
          <w:pgSz w:w="16838" w:h="11906" w:orient="landscape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36</w:t>
    </w:r>
    <w:r>
      <w:rPr>
        <w:lang w:val="zh-CN"/>
      </w:rPr>
      <w:fldChar w:fldCharType="end"/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z">
    <w15:presenceInfo w15:providerId="None" w15:userId="z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NWRmOWI5ZGYyZmViZDBmYmYzMjY5NTQwNDM1Y2YifQ=="/>
  </w:docVars>
  <w:rsids>
    <w:rsidRoot w:val="00000000"/>
    <w:rsid w:val="08CC2689"/>
    <w:rsid w:val="534557C1"/>
    <w:rsid w:val="64EA413A"/>
    <w:rsid w:val="78D2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8" w:lineRule="auto"/>
      <w:outlineLvl w:val="0"/>
    </w:pPr>
    <w:rPr>
      <w:rFonts w:ascii="Times New Roman" w:hAnsi="Times New Roman" w:eastAsia="华文楷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cs="Times New Roman" w:eastAsiaTheme="majorEastAsia"/>
      <w:b/>
      <w:bCs/>
      <w:kern w:val="0"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WPS_1569904076</cp:lastModifiedBy>
  <dcterms:modified xsi:type="dcterms:W3CDTF">2023-10-08T06:39:53Z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EC448582909F42B98D1E50948E6F0864</vt:lpwstr>
  </property>
</Properties>
</file>